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4"/>
        </w:tabs>
        <w:bidi w:val="0"/>
        <w:spacing w:line="560" w:lineRule="exact"/>
        <w:ind w:left="0" w:leftChars="0" w:firstLine="0" w:firstLineChars="0"/>
        <w:rPr>
          <w:rFonts w:hint="default" w:ascii="黑体" w:hAnsi="黑体" w:eastAsia="黑体" w:cs="黑体"/>
          <w:sz w:val="32"/>
          <w:lang w:val="en-US" w:eastAsia="zh-CN"/>
        </w:rPr>
      </w:pPr>
      <w:r>
        <w:rPr>
          <w:rFonts w:hint="eastAsia" w:ascii="黑体" w:hAnsi="黑体" w:eastAsia="黑体" w:cs="黑体"/>
          <w:sz w:val="32"/>
          <w:lang w:val="en-US" w:eastAsia="zh-CN"/>
        </w:rPr>
        <w:t>附件2</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CESI黑体-GB2312" w:hAnsi="CESI黑体-GB2312" w:eastAsia="CESI黑体-GB2312" w:cs="CESI黑体-GB2312"/>
          <w:i w:val="0"/>
          <w:iCs w:val="0"/>
          <w:caps w:val="0"/>
          <w:color w:val="333333"/>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lang w:val="en-US" w:eastAsia="zh-CN"/>
        </w:rPr>
        <w:t>《广州期货交易所结算管理办法》</w:t>
      </w:r>
      <w:r>
        <w:rPr>
          <w:rFonts w:hint="eastAsia" w:ascii="方正小标宋简体" w:hAnsi="方正小标宋简体" w:eastAsia="方正小标宋简体" w:cs="方正小标宋简体"/>
          <w:sz w:val="44"/>
          <w:szCs w:val="44"/>
          <w:highlight w:val="none"/>
          <w:lang w:val="en-US" w:eastAsia="zh-CN"/>
        </w:rPr>
        <w:t>修订对照表</w:t>
      </w:r>
    </w:p>
    <w:p>
      <w:pPr>
        <w:pStyle w:val="2"/>
        <w:ind w:left="0" w:leftChars="0" w:firstLine="0" w:firstLineChars="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highlight w:val="none"/>
          <w:lang w:val="en-US" w:eastAsia="zh-CN"/>
        </w:rPr>
        <w:t>（注：双删除线为删除内容，加粗为新增内容）</w:t>
      </w:r>
    </w:p>
    <w:tbl>
      <w:tblPr>
        <w:tblStyle w:val="7"/>
        <w:tblpPr w:leftFromText="180" w:rightFromText="180" w:vertAnchor="text" w:horzAnchor="page" w:tblpX="1640" w:tblpY="6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293"/>
        <w:gridCol w:w="6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00" w:type="dxa"/>
            <w:noWrap w:val="0"/>
            <w:vAlign w:val="center"/>
          </w:tcPr>
          <w:p>
            <w:pPr>
              <w:jc w:val="center"/>
              <w:rPr>
                <w:rFonts w:hint="eastAsia" w:ascii="仿宋_GB2312" w:hAnsi="仿宋_GB2312" w:eastAsia="仿宋_GB2312" w:cs="仿宋_GB2312"/>
                <w:b/>
                <w:bCs/>
                <w:sz w:val="32"/>
                <w:szCs w:val="32"/>
                <w:highlight w:val="none"/>
                <w:vertAlign w:val="baseline"/>
                <w:lang w:eastAsia="zh-CN"/>
              </w:rPr>
            </w:pPr>
            <w:r>
              <w:rPr>
                <w:rFonts w:hint="eastAsia" w:ascii="仿宋_GB2312" w:hAnsi="仿宋_GB2312" w:eastAsia="仿宋_GB2312" w:cs="仿宋_GB2312"/>
                <w:b/>
                <w:bCs/>
                <w:sz w:val="32"/>
                <w:szCs w:val="32"/>
                <w:highlight w:val="none"/>
                <w:vertAlign w:val="baseline"/>
                <w:lang w:eastAsia="zh-CN"/>
              </w:rPr>
              <w:t>序号</w:t>
            </w:r>
          </w:p>
        </w:tc>
        <w:tc>
          <w:tcPr>
            <w:tcW w:w="6293" w:type="dxa"/>
            <w:noWrap w:val="0"/>
            <w:vAlign w:val="center"/>
          </w:tcPr>
          <w:p>
            <w:pPr>
              <w:jc w:val="center"/>
              <w:rPr>
                <w:rFonts w:hint="eastAsia" w:ascii="仿宋_GB2312" w:hAnsi="仿宋_GB2312" w:eastAsia="仿宋_GB2312" w:cs="仿宋_GB2312"/>
                <w:b/>
                <w:bCs/>
                <w:sz w:val="32"/>
                <w:szCs w:val="32"/>
                <w:highlight w:val="none"/>
                <w:vertAlign w:val="baseline"/>
                <w:lang w:eastAsia="zh-CN"/>
              </w:rPr>
            </w:pPr>
            <w:r>
              <w:rPr>
                <w:rFonts w:hint="eastAsia" w:ascii="仿宋_GB2312" w:hAnsi="仿宋_GB2312" w:eastAsia="仿宋_GB2312" w:cs="仿宋_GB2312"/>
                <w:b/>
                <w:bCs/>
                <w:sz w:val="32"/>
                <w:szCs w:val="32"/>
                <w:highlight w:val="none"/>
                <w:vertAlign w:val="baseline"/>
                <w:lang w:eastAsia="zh-CN"/>
              </w:rPr>
              <w:t>原条文</w:t>
            </w:r>
          </w:p>
        </w:tc>
        <w:tc>
          <w:tcPr>
            <w:tcW w:w="6293" w:type="dxa"/>
            <w:noWrap w:val="0"/>
            <w:vAlign w:val="center"/>
          </w:tcPr>
          <w:p>
            <w:pPr>
              <w:jc w:val="center"/>
              <w:rPr>
                <w:rFonts w:hint="eastAsia" w:ascii="仿宋_GB2312" w:hAnsi="仿宋_GB2312" w:eastAsia="仿宋_GB2312" w:cs="仿宋_GB2312"/>
                <w:b/>
                <w:bCs/>
                <w:sz w:val="32"/>
                <w:szCs w:val="32"/>
                <w:highlight w:val="none"/>
                <w:vertAlign w:val="baseline"/>
                <w:lang w:eastAsia="zh-CN"/>
              </w:rPr>
            </w:pPr>
            <w:r>
              <w:rPr>
                <w:rFonts w:hint="eastAsia" w:ascii="仿宋_GB2312" w:hAnsi="仿宋_GB2312" w:eastAsia="仿宋_GB2312" w:cs="仿宋_GB2312"/>
                <w:b/>
                <w:bCs/>
                <w:sz w:val="32"/>
                <w:szCs w:val="32"/>
                <w:highlight w:val="none"/>
                <w:vertAlign w:val="baseline"/>
                <w:lang w:eastAsia="zh-CN"/>
              </w:rPr>
              <w:t>现条文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6293" w:type="dxa"/>
            <w:noWrap w:val="0"/>
            <w:vAlign w:val="top"/>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三十二</w:t>
            </w:r>
            <w:r>
              <w:rPr>
                <w:rFonts w:hint="eastAsia" w:ascii="仿宋_GB2312" w:hAnsi="仿宋_GB2312" w:eastAsia="仿宋_GB2312" w:cs="仿宋_GB2312"/>
                <w:sz w:val="32"/>
                <w:szCs w:val="32"/>
                <w:highlight w:val="none"/>
              </w:rPr>
              <w:t xml:space="preserve">条 </w:t>
            </w:r>
            <w:r>
              <w:rPr>
                <w:rFonts w:hint="eastAsia" w:ascii="Times New Roman" w:hAnsi="Times New Roman" w:eastAsia="仿宋_GB2312" w:cs="Times New Roman"/>
                <w:sz w:val="32"/>
                <w:highlight w:val="none"/>
              </w:rPr>
              <w:t>交易所根据会员</w:t>
            </w:r>
            <w:r>
              <w:rPr>
                <w:rFonts w:hint="eastAsia" w:ascii="Times New Roman" w:hAnsi="Times New Roman" w:eastAsia="仿宋_GB2312" w:cs="Times New Roman"/>
                <w:dstrike/>
                <w:sz w:val="32"/>
                <w:highlight w:val="none"/>
              </w:rPr>
              <w:t>当日</w:t>
            </w:r>
            <w:r>
              <w:rPr>
                <w:rFonts w:hint="eastAsia" w:ascii="Times New Roman" w:hAnsi="Times New Roman" w:eastAsia="仿宋_GB2312" w:cs="Times New Roman"/>
                <w:sz w:val="32"/>
                <w:highlight w:val="none"/>
              </w:rPr>
              <w:t>结算准备金余额中的货币资金部分，</w:t>
            </w:r>
            <w:r>
              <w:rPr>
                <w:rFonts w:hint="eastAsia" w:ascii="Times New Roman" w:hAnsi="Times New Roman" w:eastAsia="仿宋_GB2312" w:cs="Times New Roman"/>
                <w:dstrike/>
                <w:sz w:val="32"/>
                <w:highlight w:val="none"/>
              </w:rPr>
              <w:t>以不低于中国人民银行公布的相应币种的同期银行活期存款利率计算利息，并</w:t>
            </w:r>
            <w:r>
              <w:rPr>
                <w:rFonts w:hint="eastAsia" w:ascii="Times New Roman" w:hAnsi="Times New Roman" w:eastAsia="仿宋_GB2312" w:cs="Times New Roman"/>
                <w:sz w:val="32"/>
                <w:highlight w:val="none"/>
              </w:rPr>
              <w:t>在每年</w:t>
            </w:r>
            <w:r>
              <w:rPr>
                <w:rFonts w:hint="eastAsia" w:ascii="Times New Roman" w:hAnsi="Times New Roman" w:eastAsia="仿宋_GB2312" w:cs="Times New Roman"/>
                <w:dstrike/>
                <w:sz w:val="32"/>
                <w:highlight w:val="none"/>
              </w:rPr>
              <w:t>的</w:t>
            </w:r>
            <w:r>
              <w:rPr>
                <w:rFonts w:hint="eastAsia" w:ascii="Times New Roman" w:hAnsi="Times New Roman" w:eastAsia="仿宋_GB2312" w:cs="Times New Roman"/>
                <w:sz w:val="32"/>
                <w:highlight w:val="none"/>
              </w:rPr>
              <w:t>3月、6月、9月</w:t>
            </w:r>
            <w:r>
              <w:rPr>
                <w:rFonts w:hint="eastAsia" w:ascii="Times New Roman" w:hAnsi="Times New Roman" w:eastAsia="仿宋_GB2312" w:cs="Times New Roman"/>
                <w:dstrike/>
                <w:sz w:val="32"/>
                <w:highlight w:val="none"/>
              </w:rPr>
              <w:t>和</w:t>
            </w:r>
            <w:r>
              <w:rPr>
                <w:rFonts w:hint="eastAsia" w:ascii="Times New Roman" w:hAnsi="Times New Roman" w:eastAsia="仿宋_GB2312" w:cs="Times New Roman"/>
                <w:sz w:val="32"/>
                <w:highlight w:val="none"/>
              </w:rPr>
              <w:t>12月下旬将利息</w:t>
            </w:r>
            <w:r>
              <w:rPr>
                <w:rFonts w:hint="eastAsia" w:ascii="Times New Roman" w:hAnsi="Times New Roman" w:eastAsia="仿宋_GB2312" w:cs="Times New Roman"/>
                <w:dstrike/>
                <w:sz w:val="32"/>
                <w:highlight w:val="none"/>
              </w:rPr>
              <w:t>支付给</w:t>
            </w:r>
            <w:r>
              <w:rPr>
                <w:rFonts w:hint="eastAsia" w:ascii="Times New Roman" w:hAnsi="Times New Roman" w:eastAsia="仿宋_GB2312" w:cs="Times New Roman"/>
                <w:sz w:val="32"/>
                <w:highlight w:val="none"/>
              </w:rPr>
              <w:t>会员。具体执行利率由交易所确定、调整并公布。</w:t>
            </w:r>
          </w:p>
        </w:tc>
        <w:tc>
          <w:tcPr>
            <w:tcW w:w="6293" w:type="dxa"/>
            <w:noWrap w:val="0"/>
            <w:vAlign w:val="top"/>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vertAlign w:val="baseline"/>
              </w:rPr>
            </w:pPr>
            <w:r>
              <w:rPr>
                <w:rFonts w:hint="eastAsia" w:ascii="Times New Roman" w:hAnsi="Times New Roman" w:eastAsia="仿宋_GB2312" w:cs="Times New Roman"/>
                <w:sz w:val="32"/>
                <w:highlight w:val="none"/>
              </w:rPr>
              <w:t>第三十二条 交易所根据会员</w:t>
            </w:r>
            <w:r>
              <w:rPr>
                <w:rFonts w:hint="eastAsia" w:ascii="Times New Roman" w:hAnsi="Times New Roman" w:eastAsia="仿宋_GB2312" w:cs="Times New Roman"/>
                <w:b/>
                <w:bCs/>
                <w:sz w:val="32"/>
                <w:highlight w:val="none"/>
              </w:rPr>
              <w:t>每日交易保证金和</w:t>
            </w:r>
            <w:r>
              <w:rPr>
                <w:rFonts w:hint="eastAsia" w:ascii="Times New Roman" w:hAnsi="Times New Roman" w:eastAsia="仿宋_GB2312" w:cs="Times New Roman"/>
                <w:sz w:val="32"/>
                <w:highlight w:val="none"/>
              </w:rPr>
              <w:t>结算准备金余额中的货币资金部分，在每年3月、6月、9月</w:t>
            </w:r>
            <w:r>
              <w:rPr>
                <w:rFonts w:hint="eastAsia" w:ascii="Times New Roman" w:hAnsi="Times New Roman" w:eastAsia="仿宋_GB2312" w:cs="Times New Roman"/>
                <w:b/>
                <w:bCs/>
                <w:sz w:val="32"/>
                <w:highlight w:val="none"/>
                <w:lang w:eastAsia="zh-CN"/>
              </w:rPr>
              <w:t>、</w:t>
            </w:r>
            <w:r>
              <w:rPr>
                <w:rFonts w:hint="eastAsia" w:ascii="Times New Roman" w:hAnsi="Times New Roman" w:eastAsia="仿宋_GB2312" w:cs="Times New Roman"/>
                <w:sz w:val="32"/>
                <w:highlight w:val="none"/>
              </w:rPr>
              <w:t>12月下旬</w:t>
            </w:r>
            <w:r>
              <w:rPr>
                <w:rFonts w:hint="eastAsia" w:ascii="Times New Roman" w:hAnsi="Times New Roman" w:eastAsia="仿宋_GB2312" w:cs="Times New Roman"/>
                <w:b/>
                <w:bCs/>
                <w:sz w:val="32"/>
                <w:highlight w:val="none"/>
              </w:rPr>
              <w:t>指定存管银行向交易所支付利息后，</w:t>
            </w:r>
            <w:r>
              <w:rPr>
                <w:rFonts w:hint="eastAsia" w:ascii="Times New Roman" w:hAnsi="Times New Roman" w:eastAsia="仿宋_GB2312" w:cs="Times New Roman"/>
                <w:sz w:val="32"/>
                <w:highlight w:val="none"/>
              </w:rPr>
              <w:t>将利息</w:t>
            </w:r>
            <w:r>
              <w:rPr>
                <w:rFonts w:hint="eastAsia" w:ascii="Times New Roman" w:hAnsi="Times New Roman" w:eastAsia="仿宋_GB2312" w:cs="Times New Roman"/>
                <w:b/>
                <w:bCs/>
                <w:sz w:val="32"/>
                <w:highlight w:val="none"/>
              </w:rPr>
              <w:t>转入</w:t>
            </w:r>
            <w:r>
              <w:rPr>
                <w:rFonts w:hint="eastAsia" w:ascii="Times New Roman" w:hAnsi="Times New Roman" w:eastAsia="仿宋_GB2312" w:cs="Times New Roman"/>
                <w:sz w:val="32"/>
                <w:highlight w:val="none"/>
              </w:rPr>
              <w:t>会员</w:t>
            </w:r>
            <w:r>
              <w:rPr>
                <w:rFonts w:hint="eastAsia" w:ascii="Times New Roman" w:hAnsi="Times New Roman" w:eastAsia="仿宋_GB2312" w:cs="Times New Roman"/>
                <w:b/>
                <w:bCs/>
                <w:sz w:val="32"/>
                <w:highlight w:val="none"/>
              </w:rPr>
              <w:t>结算准备金</w:t>
            </w:r>
            <w:r>
              <w:rPr>
                <w:rFonts w:hint="eastAsia" w:ascii="Times New Roman" w:hAnsi="Times New Roman" w:eastAsia="仿宋_GB2312" w:cs="Times New Roman"/>
                <w:sz w:val="32"/>
                <w:highlight w:val="none"/>
              </w:rPr>
              <w:t>。具体执行利率由交易所确定、调整并公布。</w:t>
            </w:r>
          </w:p>
        </w:tc>
      </w:tr>
    </w:tbl>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FCF643"/>
    <w:rsid w:val="13DDFDFE"/>
    <w:rsid w:val="2B4BECCB"/>
    <w:rsid w:val="2FD5DFCA"/>
    <w:rsid w:val="3F754F5C"/>
    <w:rsid w:val="5CBC9EF2"/>
    <w:rsid w:val="5FF3E986"/>
    <w:rsid w:val="73F6C785"/>
    <w:rsid w:val="7D3E1903"/>
    <w:rsid w:val="7DBB56BA"/>
    <w:rsid w:val="7DD352FB"/>
    <w:rsid w:val="7FB752A4"/>
    <w:rsid w:val="7FF183D6"/>
    <w:rsid w:val="CFFF4D07"/>
    <w:rsid w:val="E3FCF643"/>
    <w:rsid w:val="EF7F22EC"/>
    <w:rsid w:val="F715EA7D"/>
    <w:rsid w:val="FCF7DA59"/>
    <w:rsid w:val="FF5B9B21"/>
    <w:rsid w:val="FFFBD9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next w:val="1"/>
    <w:unhideWhenUsed/>
    <w:qFormat/>
    <w:uiPriority w:val="0"/>
    <w:pPr>
      <w:widowControl w:val="0"/>
      <w:spacing w:beforeLines="0" w:afterLines="0"/>
      <w:ind w:left="200" w:leftChars="200" w:hanging="200" w:hangingChars="200"/>
      <w:jc w:val="both"/>
    </w:pPr>
    <w:rPr>
      <w:rFonts w:hint="default"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2024-12-27T00:55:00Z</dcterms:created>
  <dc:creator>zhaojw</dc:creator>
  <cp:lastModifiedBy>王蒙</cp:lastModifiedBy>
  <dcterms:modified xsi:type="dcterms:W3CDTF">2026-06-17T15:42:39Z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2052-11.8.2.12378</vt:lpwstr>
  </property>
  <property fmtid="{D5CDD505-2E9C-101B-9397-08002B2CF9AE}" pid="3" name="ICV">
    <vt:lpwstr>F7016CFA48AD46053328266A756B1CAD</vt:lpwstr>
  </property>
</Properties>
</file>